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B8B7B" w14:textId="6FF0C552" w:rsidR="008C6A70" w:rsidRDefault="008C6A70">
      <w:pPr>
        <w:rPr>
          <w:rFonts w:ascii="Verdana" w:hAnsi="Verdana"/>
          <w:color w:val="333333"/>
          <w:sz w:val="20"/>
          <w:szCs w:val="20"/>
          <w:shd w:val="clear" w:color="auto" w:fill="ECF2E6"/>
        </w:rPr>
      </w:pPr>
      <w:r>
        <w:rPr>
          <w:rFonts w:ascii="Verdana" w:hAnsi="Verdana"/>
          <w:color w:val="333333"/>
          <w:sz w:val="20"/>
          <w:szCs w:val="20"/>
          <w:shd w:val="clear" w:color="auto" w:fill="ECF2E6"/>
        </w:rPr>
        <w:t>From CGN User Iron Noggin:</w:t>
      </w:r>
    </w:p>
    <w:p w14:paraId="05558A80" w14:textId="77777777" w:rsidR="008C6A70" w:rsidRDefault="008C6A70">
      <w:pPr>
        <w:rPr>
          <w:rFonts w:ascii="Verdana" w:hAnsi="Verdana"/>
          <w:color w:val="333333"/>
          <w:sz w:val="20"/>
          <w:szCs w:val="20"/>
          <w:shd w:val="clear" w:color="auto" w:fill="ECF2E6"/>
        </w:rPr>
      </w:pPr>
    </w:p>
    <w:p w14:paraId="0230549D" w14:textId="6A52CB7E" w:rsidR="008C6A70" w:rsidRDefault="008C6A70">
      <w:r>
        <w:rPr>
          <w:rFonts w:ascii="Verdana" w:hAnsi="Verdana"/>
          <w:color w:val="333333"/>
          <w:sz w:val="20"/>
          <w:szCs w:val="20"/>
          <w:shd w:val="clear" w:color="auto" w:fill="ECF2E6"/>
        </w:rPr>
        <w:t>Time to start rolling hard on this Folks!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u w:val="single"/>
          <w:shd w:val="clear" w:color="auto" w:fill="ECF2E6"/>
        </w:rPr>
        <w:t>Step One</w:t>
      </w:r>
      <w:r>
        <w:rPr>
          <w:rFonts w:ascii="Verdana" w:hAnsi="Verdana"/>
          <w:color w:val="333333"/>
          <w:sz w:val="20"/>
          <w:szCs w:val="20"/>
          <w:shd w:val="clear" w:color="auto" w:fill="ECF2E6"/>
        </w:rPr>
        <w:t>:</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I fired off the following letter this morning, and am now posting it on several forums so that others can copy it and send to our Governor General over their own name: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May 4, 2020</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u w:val="single"/>
          <w:shd w:val="clear" w:color="auto" w:fill="ECF2E6"/>
        </w:rPr>
        <w:t>An Open Letter to Her Excellency Julie Payette the Governor General of Canada</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First I would like to take this opportunity to congratulate you for your performance in your role as the Governor General of Canada. Your professionalism is both steadfast and admirable.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To the point of this letter: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On May 1, 2020, Justin Trudeau and the Liberal Party of Canada, collectively constituting a minority government in Canada, intentionally set out to subvert and thwart parliamentary procedure in Canada. In their haste to make political points on the recent tragedy in Nova Scotia, they decided to forgo debate in the House over one of the more significant pieces of Legislation they have introduced in their new term. This action was and is an obvious misuse of the Order In Council process on the part of a government uncertain if their proposed Legislation would survive open parliamentary debate.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Fortunately in Canada there exists a “Safety Net” designed explicitly to prevent such forms of abuse, and that safety net resides within you and your office. As relating to this matter, the Criminal Code of Canada specifically states:</w:t>
      </w:r>
      <w:r>
        <w:rPr>
          <w:rFonts w:ascii="Verdana" w:hAnsi="Verdana"/>
          <w:color w:val="333333"/>
          <w:sz w:val="20"/>
          <w:szCs w:val="20"/>
        </w:rPr>
        <w:br/>
      </w:r>
      <w:r>
        <w:rPr>
          <w:rFonts w:ascii="Verdana" w:hAnsi="Verdana"/>
          <w:color w:val="333333"/>
          <w:sz w:val="20"/>
          <w:szCs w:val="20"/>
        </w:rPr>
        <w:br/>
      </w:r>
      <w:proofErr w:type="spellStart"/>
      <w:r>
        <w:rPr>
          <w:rFonts w:ascii="Verdana" w:hAnsi="Verdana"/>
          <w:color w:val="333333"/>
          <w:sz w:val="20"/>
          <w:szCs w:val="20"/>
          <w:shd w:val="clear" w:color="auto" w:fill="ECF2E6"/>
        </w:rPr>
        <w:t>Cri</w:t>
      </w:r>
      <w:r>
        <w:rPr>
          <w:rFonts w:ascii="Tahoma" w:hAnsi="Tahoma" w:cs="Tahoma"/>
          <w:color w:val="333333"/>
          <w:sz w:val="20"/>
          <w:szCs w:val="20"/>
          <w:shd w:val="clear" w:color="auto" w:fill="ECF2E6"/>
        </w:rPr>
        <w:t>﻿</w:t>
      </w:r>
      <w:r>
        <w:rPr>
          <w:rFonts w:ascii="Verdana" w:hAnsi="Verdana"/>
          <w:color w:val="333333"/>
          <w:sz w:val="20"/>
          <w:szCs w:val="20"/>
          <w:shd w:val="clear" w:color="auto" w:fill="ECF2E6"/>
        </w:rPr>
        <w:t>minal</w:t>
      </w:r>
      <w:proofErr w:type="spellEnd"/>
      <w:r>
        <w:rPr>
          <w:rFonts w:ascii="Verdana" w:hAnsi="Verdana"/>
          <w:color w:val="333333"/>
          <w:sz w:val="20"/>
          <w:szCs w:val="20"/>
          <w:shd w:val="clear" w:color="auto" w:fill="ECF2E6"/>
        </w:rPr>
        <w:t xml:space="preserve"> Code</w:t>
      </w:r>
      <w:r>
        <w:rPr>
          <w:rFonts w:ascii="Verdana" w:hAnsi="Verdana"/>
          <w:color w:val="333333"/>
          <w:sz w:val="20"/>
          <w:szCs w:val="20"/>
        </w:rPr>
        <w:br/>
      </w:r>
      <w:r>
        <w:rPr>
          <w:rFonts w:ascii="Verdana" w:hAnsi="Verdana"/>
          <w:color w:val="333333"/>
          <w:sz w:val="20"/>
          <w:szCs w:val="20"/>
          <w:shd w:val="clear" w:color="auto" w:fill="ECF2E6"/>
        </w:rPr>
        <w:t>Version of section 117.15 from 2015-06-18 to 2020-04-21:</w:t>
      </w:r>
      <w:r>
        <w:rPr>
          <w:rFonts w:ascii="Verdana" w:hAnsi="Verdana"/>
          <w:color w:val="333333"/>
          <w:sz w:val="20"/>
          <w:szCs w:val="20"/>
        </w:rPr>
        <w:br/>
      </w:r>
      <w:r>
        <w:rPr>
          <w:rFonts w:ascii="Verdana" w:hAnsi="Verdana"/>
          <w:color w:val="333333"/>
          <w:sz w:val="20"/>
          <w:szCs w:val="20"/>
          <w:shd w:val="clear" w:color="auto" w:fill="ECF2E6"/>
        </w:rPr>
        <w:t>Regulations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 xml:space="preserve">117.15 (1) Subject to subsection (2), the Governor in Council may make regulations prescribing anything that by this Part is to be or may be prescribed. </w:t>
      </w:r>
      <w:r>
        <w:rPr>
          <w:rFonts w:ascii="Tahoma" w:hAnsi="Tahoma" w:cs="Tahoma"/>
          <w:color w:val="333333"/>
          <w:sz w:val="20"/>
          <w:szCs w:val="20"/>
          <w:shd w:val="clear" w:color="auto" w:fill="ECF2E6"/>
        </w:rPr>
        <w:t>﻿</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 xml:space="preserve">Marginal </w:t>
      </w:r>
      <w:proofErr w:type="spellStart"/>
      <w:r>
        <w:rPr>
          <w:rFonts w:ascii="Verdana" w:hAnsi="Verdana"/>
          <w:color w:val="333333"/>
          <w:sz w:val="20"/>
          <w:szCs w:val="20"/>
          <w:shd w:val="clear" w:color="auto" w:fill="ECF2E6"/>
        </w:rPr>
        <w:t>note:Restriction</w:t>
      </w:r>
      <w:proofErr w:type="spellEnd"/>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 xml:space="preserve">(2) In making regulations, the Governor </w:t>
      </w:r>
      <w:proofErr w:type="spellStart"/>
      <w:r>
        <w:rPr>
          <w:rFonts w:ascii="Verdana" w:hAnsi="Verdana"/>
          <w:color w:val="333333"/>
          <w:sz w:val="20"/>
          <w:szCs w:val="20"/>
          <w:shd w:val="clear" w:color="auto" w:fill="ECF2E6"/>
        </w:rPr>
        <w:t>i</w:t>
      </w:r>
      <w:r>
        <w:rPr>
          <w:rFonts w:ascii="Tahoma" w:hAnsi="Tahoma" w:cs="Tahoma"/>
          <w:color w:val="333333"/>
          <w:sz w:val="20"/>
          <w:szCs w:val="20"/>
          <w:shd w:val="clear" w:color="auto" w:fill="ECF2E6"/>
        </w:rPr>
        <w:t>﻿</w:t>
      </w:r>
      <w:r>
        <w:rPr>
          <w:rFonts w:ascii="Verdana" w:hAnsi="Verdana"/>
          <w:color w:val="333333"/>
          <w:sz w:val="20"/>
          <w:szCs w:val="20"/>
          <w:shd w:val="clear" w:color="auto" w:fill="ECF2E6"/>
        </w:rPr>
        <w:t>n</w:t>
      </w:r>
      <w:proofErr w:type="spellEnd"/>
      <w:r>
        <w:rPr>
          <w:rFonts w:ascii="Verdana" w:hAnsi="Verdana"/>
          <w:color w:val="333333"/>
          <w:sz w:val="20"/>
          <w:szCs w:val="20"/>
          <w:shd w:val="clear" w:color="auto" w:fill="ECF2E6"/>
        </w:rPr>
        <w:t xml:space="preserve"> Council </w:t>
      </w:r>
      <w:r>
        <w:rPr>
          <w:rFonts w:ascii="Tahoma" w:hAnsi="Tahoma" w:cs="Tahoma"/>
          <w:color w:val="333333"/>
          <w:sz w:val="20"/>
          <w:szCs w:val="20"/>
          <w:shd w:val="clear" w:color="auto" w:fill="ECF2E6"/>
        </w:rPr>
        <w:t>﻿</w:t>
      </w:r>
      <w:r>
        <w:rPr>
          <w:rFonts w:ascii="Verdana" w:hAnsi="Verdana"/>
          <w:color w:val="333333"/>
          <w:sz w:val="20"/>
          <w:szCs w:val="20"/>
          <w:shd w:val="clear" w:color="auto" w:fill="ECF2E6"/>
        </w:rPr>
        <w:t xml:space="preserve">may not prescribe </w:t>
      </w:r>
      <w:proofErr w:type="spellStart"/>
      <w:r>
        <w:rPr>
          <w:rFonts w:ascii="Verdana" w:hAnsi="Verdana"/>
          <w:color w:val="333333"/>
          <w:sz w:val="20"/>
          <w:szCs w:val="20"/>
          <w:shd w:val="clear" w:color="auto" w:fill="ECF2E6"/>
        </w:rPr>
        <w:t>any thing</w:t>
      </w:r>
      <w:proofErr w:type="spellEnd"/>
      <w:r>
        <w:rPr>
          <w:rFonts w:ascii="Verdana" w:hAnsi="Verdana"/>
          <w:color w:val="333333"/>
          <w:sz w:val="20"/>
          <w:szCs w:val="20"/>
          <w:shd w:val="clear" w:color="auto" w:fill="ECF2E6"/>
        </w:rPr>
        <w:t xml:space="preserve"> to be a prohibited firearm, a restricted firearm, a prohibited weapon, a restricted weapon, a </w:t>
      </w:r>
      <w:proofErr w:type="spellStart"/>
      <w:r>
        <w:rPr>
          <w:rFonts w:ascii="Verdana" w:hAnsi="Verdana"/>
          <w:color w:val="333333"/>
          <w:sz w:val="20"/>
          <w:szCs w:val="20"/>
          <w:shd w:val="clear" w:color="auto" w:fill="ECF2E6"/>
        </w:rPr>
        <w:t>pro</w:t>
      </w:r>
      <w:r>
        <w:rPr>
          <w:rFonts w:ascii="Tahoma" w:hAnsi="Tahoma" w:cs="Tahoma"/>
          <w:color w:val="333333"/>
          <w:sz w:val="20"/>
          <w:szCs w:val="20"/>
          <w:shd w:val="clear" w:color="auto" w:fill="ECF2E6"/>
        </w:rPr>
        <w:t>﻿</w:t>
      </w:r>
      <w:r>
        <w:rPr>
          <w:rFonts w:ascii="Verdana" w:hAnsi="Verdana"/>
          <w:color w:val="333333"/>
          <w:sz w:val="20"/>
          <w:szCs w:val="20"/>
          <w:shd w:val="clear" w:color="auto" w:fill="ECF2E6"/>
        </w:rPr>
        <w:t>hibite</w:t>
      </w:r>
      <w:r>
        <w:rPr>
          <w:rFonts w:ascii="Tahoma" w:hAnsi="Tahoma" w:cs="Tahoma"/>
          <w:color w:val="333333"/>
          <w:sz w:val="20"/>
          <w:szCs w:val="20"/>
          <w:shd w:val="clear" w:color="auto" w:fill="ECF2E6"/>
        </w:rPr>
        <w:t>﻿</w:t>
      </w:r>
      <w:r>
        <w:rPr>
          <w:rFonts w:ascii="Verdana" w:hAnsi="Verdana"/>
          <w:color w:val="333333"/>
          <w:sz w:val="20"/>
          <w:szCs w:val="20"/>
          <w:shd w:val="clear" w:color="auto" w:fill="ECF2E6"/>
        </w:rPr>
        <w:t>d</w:t>
      </w:r>
      <w:proofErr w:type="spellEnd"/>
      <w:r>
        <w:rPr>
          <w:rFonts w:ascii="Verdana" w:hAnsi="Verdana"/>
          <w:color w:val="333333"/>
          <w:sz w:val="20"/>
          <w:szCs w:val="20"/>
          <w:shd w:val="clear" w:color="auto" w:fill="ECF2E6"/>
        </w:rPr>
        <w:t xml:space="preserve"> device or prohibited ammunition if, in the opinion of the Governor in Council, the thing to be prescribed is reasonable for use in Canada for hunting or sporting </w:t>
      </w:r>
      <w:proofErr w:type="spellStart"/>
      <w:r>
        <w:rPr>
          <w:rFonts w:ascii="Verdana" w:hAnsi="Verdana"/>
          <w:color w:val="333333"/>
          <w:sz w:val="20"/>
          <w:szCs w:val="20"/>
          <w:shd w:val="clear" w:color="auto" w:fill="ECF2E6"/>
        </w:rPr>
        <w:t>purpose</w:t>
      </w:r>
      <w:r>
        <w:rPr>
          <w:rFonts w:ascii="Tahoma" w:hAnsi="Tahoma" w:cs="Tahoma"/>
          <w:color w:val="333333"/>
          <w:sz w:val="20"/>
          <w:szCs w:val="20"/>
          <w:shd w:val="clear" w:color="auto" w:fill="ECF2E6"/>
        </w:rPr>
        <w:t>﻿</w:t>
      </w:r>
      <w:r>
        <w:rPr>
          <w:rFonts w:ascii="Verdana" w:hAnsi="Verdana"/>
          <w:color w:val="333333"/>
          <w:sz w:val="20"/>
          <w:szCs w:val="20"/>
          <w:shd w:val="clear" w:color="auto" w:fill="ECF2E6"/>
        </w:rPr>
        <w:t>s</w:t>
      </w:r>
      <w:proofErr w:type="spellEnd"/>
      <w:r>
        <w:rPr>
          <w:rFonts w:ascii="Verdana" w:hAnsi="Verdana"/>
          <w:color w:val="333333"/>
          <w:sz w:val="20"/>
          <w:szCs w:val="20"/>
          <w:shd w:val="clear" w:color="auto" w:fill="ECF2E6"/>
        </w:rPr>
        <w:t>.</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 xml:space="preserve">Justice Minister David </w:t>
      </w:r>
      <w:proofErr w:type="spellStart"/>
      <w:r>
        <w:rPr>
          <w:rFonts w:ascii="Verdana" w:hAnsi="Verdana"/>
          <w:color w:val="333333"/>
          <w:sz w:val="20"/>
          <w:szCs w:val="20"/>
          <w:shd w:val="clear" w:color="auto" w:fill="ECF2E6"/>
        </w:rPr>
        <w:t>Lametti</w:t>
      </w:r>
      <w:proofErr w:type="spellEnd"/>
      <w:r>
        <w:rPr>
          <w:rFonts w:ascii="Verdana" w:hAnsi="Verdana"/>
          <w:color w:val="333333"/>
          <w:sz w:val="20"/>
          <w:szCs w:val="20"/>
          <w:shd w:val="clear" w:color="auto" w:fill="ECF2E6"/>
        </w:rPr>
        <w:t xml:space="preserve"> himself provided evidence of support for these firearms’ application for hunting purposes when he stated: “There will be an exception for Indigenous people’s exercising a section 35 hunting right, as well as those who use the weapon for </w:t>
      </w:r>
      <w:r>
        <w:rPr>
          <w:rFonts w:ascii="Verdana" w:hAnsi="Verdana"/>
          <w:color w:val="333333"/>
          <w:sz w:val="20"/>
          <w:szCs w:val="20"/>
          <w:shd w:val="clear" w:color="auto" w:fill="ECF2E6"/>
        </w:rPr>
        <w:lastRenderedPageBreak/>
        <w:t>hunting to feed themselves or their family,”.</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Many of the listed firearms have been used both historically and at present for hunting. Classic examples include the Ruger Ranch Rifle (a common item on many farms and ranches for both hunting and predator control) and the majority of bolt action rifles the proposed list encompasses.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The balance of the firearms on the list are currently employed for shooting sports – target shooting and competitive shooting sports. All of those which were previously classed as “Restricted” were only made available for individual ownership for the specifically noted qualification of sporting purpose use.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There is clear and compelling evidence that many firearms on this poorly designed list meet the criteria of “Reasonable use in Canada for hunting or sporting purposes”.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While exemptions to the citation above exist, they are based upon insubstantial change or urgency:</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Exception — minor changes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(2) A regulation made under section 117 may be made without being laid before either House of Parliament if the federal Minister is of the opinion that the changes made by the regulation to an existing regulation are so immaterial or insubstantial that section 118 should not be applicable in the circumstances.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 xml:space="preserve">Marginal </w:t>
      </w:r>
      <w:proofErr w:type="spellStart"/>
      <w:r>
        <w:rPr>
          <w:rFonts w:ascii="Verdana" w:hAnsi="Verdana"/>
          <w:color w:val="333333"/>
          <w:sz w:val="20"/>
          <w:szCs w:val="20"/>
          <w:shd w:val="clear" w:color="auto" w:fill="ECF2E6"/>
        </w:rPr>
        <w:t>note:Exception</w:t>
      </w:r>
      <w:proofErr w:type="spellEnd"/>
      <w:r>
        <w:rPr>
          <w:rFonts w:ascii="Verdana" w:hAnsi="Verdana"/>
          <w:color w:val="333333"/>
          <w:sz w:val="20"/>
          <w:szCs w:val="20"/>
          <w:shd w:val="clear" w:color="auto" w:fill="ECF2E6"/>
        </w:rPr>
        <w:t xml:space="preserve"> — urgency</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(3) A regulation made under paragraph 117(</w:t>
      </w:r>
      <w:proofErr w:type="spellStart"/>
      <w:r>
        <w:rPr>
          <w:rFonts w:ascii="Verdana" w:hAnsi="Verdana"/>
          <w:color w:val="333333"/>
          <w:sz w:val="20"/>
          <w:szCs w:val="20"/>
          <w:shd w:val="clear" w:color="auto" w:fill="ECF2E6"/>
        </w:rPr>
        <w:t>i</w:t>
      </w:r>
      <w:proofErr w:type="spellEnd"/>
      <w:r>
        <w:rPr>
          <w:rFonts w:ascii="Verdana" w:hAnsi="Verdana"/>
          <w:color w:val="333333"/>
          <w:sz w:val="20"/>
          <w:szCs w:val="20"/>
          <w:shd w:val="clear" w:color="auto" w:fill="ECF2E6"/>
        </w:rPr>
        <w:t>), (l), (m), (n), (o), (q), (s) or (t) may be made without being laid before either House of Parliament if the federal Minister is of the opinion that the making of the regulation is so urgent that section 118 should not be applicable in the circumstances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No-one in Canada is suggesting that the proposed Legislation is “so immaterial or insubstantial” that the OIC was necessary or should be passed forthwith.</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The very design of the Legislation itself precludes any overwhelming “urgency” in that owners are automatically granted a two year amnesty, and that provisions for “grandfathering” (which will allow owners to retain these items for life) are incorporated. The only urgency relating to this matter is centered on the behavior of Justin Trudeau and the Liberal Party in their headlong rush to capitalize on the tragic happenings in Nova Scotia recently. There exists NO “clear and present danger” from the most vetted citizens this country has at this point.</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Those exemptions are the only two allowed by the Canadian Criminal Code. The Legislation as presented, clearly does not qualify with either definition.</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 xml:space="preserve">I thereby call on you, as Governor General of Canada to deny the Order In Council as presented as prescribed in the Canadian Criminal Code Section 117.15 (2). I strongly urge you to preserve the integrity and sanctity of your Office that passing this wrongfully decreed </w:t>
      </w:r>
      <w:r>
        <w:rPr>
          <w:rFonts w:ascii="Verdana" w:hAnsi="Verdana"/>
          <w:color w:val="333333"/>
          <w:sz w:val="20"/>
          <w:szCs w:val="20"/>
          <w:shd w:val="clear" w:color="auto" w:fill="ECF2E6"/>
        </w:rPr>
        <w:lastRenderedPageBreak/>
        <w:t>OIC would corrupt.</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I would appreciate the courtesy of a written response at your convenience.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A Very Concerned Citizen,</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 Original Posted ~</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 .......</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Email: info@gg.ca</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Address: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ECF2E6"/>
        </w:rPr>
        <w:t>Her Excellency Julie Payette the Governor General of Canada</w:t>
      </w:r>
      <w:r>
        <w:rPr>
          <w:rFonts w:ascii="Verdana" w:hAnsi="Verdana"/>
          <w:color w:val="333333"/>
          <w:sz w:val="20"/>
          <w:szCs w:val="20"/>
        </w:rPr>
        <w:br/>
      </w:r>
      <w:r>
        <w:rPr>
          <w:rFonts w:ascii="Verdana" w:hAnsi="Verdana"/>
          <w:color w:val="333333"/>
          <w:sz w:val="20"/>
          <w:szCs w:val="20"/>
          <w:shd w:val="clear" w:color="auto" w:fill="ECF2E6"/>
        </w:rPr>
        <w:t>Rideau Hall</w:t>
      </w:r>
      <w:r>
        <w:rPr>
          <w:rFonts w:ascii="Verdana" w:hAnsi="Verdana"/>
          <w:color w:val="333333"/>
          <w:sz w:val="20"/>
          <w:szCs w:val="20"/>
        </w:rPr>
        <w:br/>
      </w:r>
      <w:r>
        <w:rPr>
          <w:rFonts w:ascii="Verdana" w:hAnsi="Verdana"/>
          <w:color w:val="333333"/>
          <w:sz w:val="20"/>
          <w:szCs w:val="20"/>
          <w:shd w:val="clear" w:color="auto" w:fill="ECF2E6"/>
        </w:rPr>
        <w:t>1 Sussex Drive</w:t>
      </w:r>
      <w:r>
        <w:rPr>
          <w:rFonts w:ascii="Verdana" w:hAnsi="Verdana"/>
          <w:color w:val="333333"/>
          <w:sz w:val="20"/>
          <w:szCs w:val="20"/>
        </w:rPr>
        <w:br/>
      </w:r>
      <w:r>
        <w:rPr>
          <w:rFonts w:ascii="Verdana" w:hAnsi="Verdana"/>
          <w:color w:val="333333"/>
          <w:sz w:val="20"/>
          <w:szCs w:val="20"/>
          <w:shd w:val="clear" w:color="auto" w:fill="ECF2E6"/>
        </w:rPr>
        <w:t>Ottawa, ON</w:t>
      </w:r>
      <w:r>
        <w:rPr>
          <w:rFonts w:ascii="Verdana" w:hAnsi="Verdana"/>
          <w:color w:val="333333"/>
          <w:sz w:val="20"/>
          <w:szCs w:val="20"/>
        </w:rPr>
        <w:br/>
      </w:r>
      <w:r>
        <w:rPr>
          <w:rFonts w:ascii="Verdana" w:hAnsi="Verdana"/>
          <w:color w:val="333333"/>
          <w:sz w:val="20"/>
          <w:szCs w:val="20"/>
          <w:shd w:val="clear" w:color="auto" w:fill="ECF2E6"/>
        </w:rPr>
        <w:t>K1A 0A1</w:t>
      </w:r>
      <w:r>
        <w:rPr>
          <w:rFonts w:ascii="Verdana" w:hAnsi="Verdana"/>
          <w:color w:val="333333"/>
          <w:sz w:val="20"/>
          <w:szCs w:val="20"/>
        </w:rPr>
        <w:br/>
      </w:r>
      <w:r>
        <w:rPr>
          <w:rFonts w:ascii="Verdana" w:hAnsi="Verdana"/>
          <w:color w:val="333333"/>
          <w:sz w:val="20"/>
          <w:szCs w:val="20"/>
        </w:rPr>
        <w:br/>
      </w:r>
    </w:p>
    <w:sectPr w:rsidR="008C6A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70"/>
    <w:rsid w:val="008C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1BFA"/>
  <w15:chartTrackingRefBased/>
  <w15:docId w15:val="{6ADEBCE8-9319-43BD-AAA7-89EA93A6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Rogers</dc:creator>
  <cp:keywords/>
  <dc:description/>
  <cp:lastModifiedBy>John Rogers</cp:lastModifiedBy>
  <cp:revision>1</cp:revision>
  <dcterms:created xsi:type="dcterms:W3CDTF">2020-05-08T03:00:00Z</dcterms:created>
  <dcterms:modified xsi:type="dcterms:W3CDTF">2020-05-08T03:02:00Z</dcterms:modified>
</cp:coreProperties>
</file>